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9871EC">
      <w:pPr>
        <w:widowControl/>
        <w:jc w:val="left"/>
        <w:rPr>
          <w:rFonts w:hint="eastAsia" w:ascii="方正仿宋_GBK" w:hAnsi="方正仿宋_GBK" w:eastAsia="方正仿宋_GBK" w:cs="方正仿宋_GBK"/>
          <w:kern w:val="0"/>
          <w:sz w:val="30"/>
          <w:szCs w:val="30"/>
          <w:lang w:bidi="ar"/>
        </w:rPr>
      </w:pPr>
      <w:r>
        <w:rPr>
          <w:rFonts w:hint="eastAsia" w:ascii="方正仿宋_GBK" w:hAnsi="方正仿宋_GBK" w:eastAsia="方正仿宋_GBK" w:cs="方正仿宋_GBK"/>
          <w:kern w:val="0"/>
          <w:sz w:val="30"/>
          <w:szCs w:val="30"/>
          <w:lang w:bidi="ar"/>
        </w:rPr>
        <w:t>附件1：</w:t>
      </w:r>
    </w:p>
    <w:p w14:paraId="5CBFCBDD">
      <w:pPr>
        <w:widowControl/>
        <w:jc w:val="center"/>
        <w:rPr>
          <w:rFonts w:hint="eastAsia" w:ascii="方正仿宋_GBK" w:hAnsi="方正仿宋_GBK" w:eastAsia="方正仿宋_GBK" w:cs="方正仿宋_GBK"/>
        </w:rPr>
      </w:pPr>
      <w:r>
        <w:rPr>
          <w:rFonts w:hint="eastAsia" w:ascii="方正仿宋_GBK" w:hAnsi="方正仿宋_GBK" w:eastAsia="方正仿宋_GBK" w:cs="方正仿宋_GBK"/>
          <w:color w:val="000000"/>
          <w:kern w:val="0"/>
          <w:sz w:val="32"/>
          <w:szCs w:val="32"/>
          <w:lang w:bidi="ar"/>
        </w:rPr>
        <w:t>重庆工信职业学院校级奖学金管理办法(试行)</w:t>
      </w:r>
    </w:p>
    <w:p w14:paraId="34B3769B">
      <w:pPr>
        <w:widowControl/>
        <w:jc w:val="left"/>
        <w:rPr>
          <w:rFonts w:hint="eastAsia" w:ascii="方正仿宋_GBK" w:hAnsi="方正仿宋_GBK" w:eastAsia="方正仿宋_GBK" w:cs="方正仿宋_GBK"/>
          <w:sz w:val="28"/>
          <w:szCs w:val="28"/>
        </w:rPr>
      </w:pPr>
      <w:r>
        <w:rPr>
          <w:rFonts w:hint="eastAsia" w:ascii="方正仿宋_GBK" w:hAnsi="方正仿宋_GBK" w:eastAsia="方正仿宋_GBK" w:cs="方正仿宋_GBK"/>
          <w:b/>
          <w:bCs/>
          <w:color w:val="000000"/>
          <w:kern w:val="0"/>
          <w:sz w:val="28"/>
          <w:szCs w:val="28"/>
          <w:lang w:bidi="ar"/>
        </w:rPr>
        <w:t>第一条</w:t>
      </w:r>
      <w:r>
        <w:rPr>
          <w:rFonts w:hint="eastAsia" w:ascii="方正仿宋_GBK" w:hAnsi="方正仿宋_GBK" w:eastAsia="方正仿宋_GBK" w:cs="方正仿宋_GBK"/>
          <w:color w:val="000000"/>
          <w:kern w:val="0"/>
          <w:sz w:val="28"/>
          <w:szCs w:val="28"/>
          <w:lang w:bidi="ar"/>
        </w:rPr>
        <w:t xml:space="preserve"> 为了鼓励当学生在校期间刻苦学习、奋发向上、遵章守纪、尊师重学，建 设良好校风、学风，根据国家教育部和财政部有关规定，结合本校实际，特制定本办法。 </w:t>
      </w:r>
    </w:p>
    <w:p w14:paraId="7C82F376">
      <w:pPr>
        <w:widowControl/>
        <w:jc w:val="left"/>
        <w:rPr>
          <w:rFonts w:hint="eastAsia" w:ascii="方正仿宋_GBK" w:hAnsi="方正仿宋_GBK" w:eastAsia="方正仿宋_GBK" w:cs="方正仿宋_GBK"/>
          <w:sz w:val="28"/>
          <w:szCs w:val="28"/>
        </w:rPr>
      </w:pPr>
      <w:r>
        <w:rPr>
          <w:rFonts w:hint="eastAsia" w:ascii="方正仿宋_GBK" w:hAnsi="方正仿宋_GBK" w:eastAsia="方正仿宋_GBK" w:cs="方正仿宋_GBK"/>
          <w:b/>
          <w:bCs/>
          <w:color w:val="000000"/>
          <w:kern w:val="0"/>
          <w:sz w:val="28"/>
          <w:szCs w:val="28"/>
          <w:lang w:bidi="ar"/>
        </w:rPr>
        <w:t>第二条</w:t>
      </w:r>
      <w:r>
        <w:rPr>
          <w:rFonts w:hint="eastAsia" w:ascii="方正仿宋_GBK" w:hAnsi="方正仿宋_GBK" w:eastAsia="方正仿宋_GBK" w:cs="方正仿宋_GBK"/>
          <w:color w:val="000000"/>
          <w:kern w:val="0"/>
          <w:sz w:val="28"/>
          <w:szCs w:val="28"/>
          <w:lang w:bidi="ar"/>
        </w:rPr>
        <w:t xml:space="preserve"> 本办法适用于我校在籍在校二年级及以上学生。 </w:t>
      </w:r>
    </w:p>
    <w:p w14:paraId="085FF797">
      <w:pPr>
        <w:widowControl/>
        <w:jc w:val="left"/>
        <w:rPr>
          <w:rFonts w:hint="eastAsia" w:ascii="方正仿宋_GBK" w:hAnsi="方正仿宋_GBK" w:eastAsia="方正仿宋_GBK" w:cs="方正仿宋_GBK"/>
          <w:sz w:val="28"/>
          <w:szCs w:val="28"/>
        </w:rPr>
      </w:pPr>
      <w:r>
        <w:rPr>
          <w:rFonts w:hint="eastAsia" w:ascii="方正仿宋_GBK" w:hAnsi="方正仿宋_GBK" w:eastAsia="方正仿宋_GBK" w:cs="方正仿宋_GBK"/>
          <w:b/>
          <w:bCs/>
          <w:color w:val="000000"/>
          <w:kern w:val="0"/>
          <w:sz w:val="28"/>
          <w:szCs w:val="28"/>
          <w:lang w:bidi="ar"/>
        </w:rPr>
        <w:t>第三条</w:t>
      </w:r>
      <w:r>
        <w:rPr>
          <w:rFonts w:hint="eastAsia" w:ascii="方正仿宋_GBK" w:hAnsi="方正仿宋_GBK" w:eastAsia="方正仿宋_GBK" w:cs="方正仿宋_GBK"/>
          <w:color w:val="000000"/>
          <w:kern w:val="0"/>
          <w:sz w:val="28"/>
          <w:szCs w:val="28"/>
          <w:lang w:bidi="ar"/>
        </w:rPr>
        <w:t xml:space="preserve"> 校级奖学金的评审工作应坚持公平、公开、公正、择优的原则。 </w:t>
      </w:r>
    </w:p>
    <w:p w14:paraId="7CF130C7">
      <w:pPr>
        <w:widowControl/>
        <w:jc w:val="left"/>
        <w:rPr>
          <w:rFonts w:hint="eastAsia" w:ascii="方正仿宋_GBK" w:hAnsi="方正仿宋_GBK" w:eastAsia="方正仿宋_GBK" w:cs="方正仿宋_GBK"/>
          <w:sz w:val="28"/>
          <w:szCs w:val="28"/>
        </w:rPr>
      </w:pPr>
      <w:r>
        <w:rPr>
          <w:rFonts w:hint="eastAsia" w:ascii="方正仿宋_GBK" w:hAnsi="方正仿宋_GBK" w:eastAsia="方正仿宋_GBK" w:cs="方正仿宋_GBK"/>
          <w:b/>
          <w:bCs/>
          <w:color w:val="000000"/>
          <w:kern w:val="0"/>
          <w:sz w:val="28"/>
          <w:szCs w:val="28"/>
          <w:lang w:bidi="ar"/>
        </w:rPr>
        <w:t>第四条</w:t>
      </w:r>
      <w:r>
        <w:rPr>
          <w:rFonts w:hint="eastAsia" w:ascii="方正仿宋_GBK" w:hAnsi="方正仿宋_GBK" w:eastAsia="方正仿宋_GBK" w:cs="方正仿宋_GBK"/>
          <w:color w:val="000000"/>
          <w:kern w:val="0"/>
          <w:sz w:val="28"/>
          <w:szCs w:val="28"/>
          <w:lang w:bidi="ar"/>
        </w:rPr>
        <w:t xml:space="preserve"> 各二级学院负责组织本院系奖学金的评审工作，党委学生工作部学生资助中心负责奖学金的审核、发放和管理。 </w:t>
      </w:r>
    </w:p>
    <w:p w14:paraId="4D49A937">
      <w:pPr>
        <w:widowControl/>
        <w:jc w:val="left"/>
        <w:rPr>
          <w:rFonts w:hint="eastAsia" w:ascii="方正仿宋_GBK" w:hAnsi="方正仿宋_GBK" w:eastAsia="方正仿宋_GBK" w:cs="方正仿宋_GBK"/>
          <w:sz w:val="28"/>
          <w:szCs w:val="28"/>
        </w:rPr>
      </w:pPr>
      <w:r>
        <w:rPr>
          <w:rFonts w:hint="eastAsia" w:ascii="方正仿宋_GBK" w:hAnsi="方正仿宋_GBK" w:eastAsia="方正仿宋_GBK" w:cs="方正仿宋_GBK"/>
          <w:b/>
          <w:bCs/>
          <w:color w:val="000000"/>
          <w:kern w:val="0"/>
          <w:sz w:val="28"/>
          <w:szCs w:val="28"/>
          <w:lang w:bidi="ar"/>
        </w:rPr>
        <w:t>第五条</w:t>
      </w:r>
      <w:r>
        <w:rPr>
          <w:rFonts w:hint="eastAsia" w:ascii="方正仿宋_GBK" w:hAnsi="方正仿宋_GBK" w:eastAsia="方正仿宋_GBK" w:cs="方正仿宋_GBK"/>
          <w:color w:val="000000"/>
          <w:kern w:val="0"/>
          <w:sz w:val="28"/>
          <w:szCs w:val="28"/>
          <w:lang w:bidi="ar"/>
        </w:rPr>
        <w:t xml:space="preserve"> 校级奖学金的基本申请条件： </w:t>
      </w:r>
      <w:bookmarkStart w:id="0" w:name="_GoBack"/>
      <w:bookmarkEnd w:id="0"/>
    </w:p>
    <w:p w14:paraId="7D5047DC">
      <w:pPr>
        <w:widowControl/>
        <w:jc w:val="left"/>
        <w:rPr>
          <w:rFonts w:hint="eastAsia" w:ascii="方正仿宋_GBK" w:hAnsi="方正仿宋_GBK" w:eastAsia="方正仿宋_GBK" w:cs="方正仿宋_GBK"/>
          <w:sz w:val="28"/>
          <w:szCs w:val="28"/>
        </w:rPr>
      </w:pPr>
      <w:r>
        <w:rPr>
          <w:rFonts w:hint="eastAsia" w:ascii="方正仿宋_GBK" w:hAnsi="方正仿宋_GBK" w:eastAsia="方正仿宋_GBK" w:cs="方正仿宋_GBK"/>
          <w:color w:val="000000"/>
          <w:kern w:val="0"/>
          <w:sz w:val="28"/>
          <w:szCs w:val="28"/>
          <w:lang w:bidi="ar"/>
        </w:rPr>
        <w:t xml:space="preserve">(一)热爱祖国，拥护中国共产党的领导； </w:t>
      </w:r>
    </w:p>
    <w:p w14:paraId="01CC1B99">
      <w:pPr>
        <w:widowControl/>
        <w:jc w:val="left"/>
        <w:rPr>
          <w:rFonts w:hint="eastAsia" w:ascii="方正仿宋_GBK" w:hAnsi="方正仿宋_GBK" w:eastAsia="方正仿宋_GBK" w:cs="方正仿宋_GBK"/>
          <w:sz w:val="28"/>
          <w:szCs w:val="28"/>
        </w:rPr>
      </w:pPr>
      <w:r>
        <w:rPr>
          <w:rFonts w:hint="eastAsia" w:ascii="方正仿宋_GBK" w:hAnsi="方正仿宋_GBK" w:eastAsia="方正仿宋_GBK" w:cs="方正仿宋_GBK"/>
          <w:color w:val="000000"/>
          <w:kern w:val="0"/>
          <w:sz w:val="28"/>
          <w:szCs w:val="28"/>
          <w:lang w:bidi="ar"/>
        </w:rPr>
        <w:t xml:space="preserve">(二)政治思想素质好，模范遵守大学生行为规范，遵守学校的各项规章制度，尊敬师长，团结同学，诚实守信，道德品质优良，有较强的集体荣誉感，有良好的生活习惯，无违纪违规行为； </w:t>
      </w:r>
    </w:p>
    <w:p w14:paraId="232142EE">
      <w:pPr>
        <w:widowControl/>
        <w:jc w:val="left"/>
        <w:rPr>
          <w:rFonts w:hint="eastAsia" w:ascii="方正仿宋_GBK" w:hAnsi="方正仿宋_GBK" w:eastAsia="方正仿宋_GBK" w:cs="方正仿宋_GBK"/>
          <w:sz w:val="28"/>
          <w:szCs w:val="28"/>
        </w:rPr>
      </w:pPr>
      <w:r>
        <w:rPr>
          <w:rFonts w:hint="eastAsia" w:ascii="方正仿宋_GBK" w:hAnsi="方正仿宋_GBK" w:eastAsia="方正仿宋_GBK" w:cs="方正仿宋_GBK"/>
          <w:color w:val="000000"/>
          <w:kern w:val="0"/>
          <w:sz w:val="28"/>
          <w:szCs w:val="28"/>
          <w:lang w:bidi="ar"/>
        </w:rPr>
        <w:t xml:space="preserve">(三)学习目的明确，态度端正，热爱所学专业，勤奋学习，刻苦钻研学习成绩优异，参评学期无补考记录的； </w:t>
      </w:r>
    </w:p>
    <w:p w14:paraId="660DA634">
      <w:pPr>
        <w:widowControl/>
        <w:jc w:val="left"/>
        <w:rPr>
          <w:rFonts w:hint="eastAsia" w:ascii="方正仿宋_GBK" w:hAnsi="方正仿宋_GBK" w:eastAsia="方正仿宋_GBK" w:cs="方正仿宋_GBK"/>
          <w:sz w:val="28"/>
          <w:szCs w:val="28"/>
        </w:rPr>
      </w:pPr>
      <w:r>
        <w:rPr>
          <w:rFonts w:hint="eastAsia" w:ascii="方正仿宋_GBK" w:hAnsi="方正仿宋_GBK" w:eastAsia="方正仿宋_GBK" w:cs="方正仿宋_GBK"/>
          <w:color w:val="000000"/>
          <w:kern w:val="0"/>
          <w:sz w:val="28"/>
          <w:szCs w:val="28"/>
          <w:lang w:bidi="ar"/>
        </w:rPr>
        <w:t xml:space="preserve">1.参评校级一等奖学金要求综合素质测评成绩必须在本班前 10%，且学业平均成绩不低于 90 分，单科成绩不低于 70分，学生操行等级分为优； </w:t>
      </w:r>
    </w:p>
    <w:p w14:paraId="5EC567C6">
      <w:pPr>
        <w:widowControl/>
        <w:jc w:val="left"/>
        <w:rPr>
          <w:rFonts w:hint="eastAsia" w:ascii="方正仿宋_GBK" w:hAnsi="方正仿宋_GBK" w:eastAsia="方正仿宋_GBK" w:cs="方正仿宋_GBK"/>
          <w:sz w:val="28"/>
          <w:szCs w:val="28"/>
        </w:rPr>
      </w:pPr>
      <w:r>
        <w:rPr>
          <w:rFonts w:hint="eastAsia" w:ascii="方正仿宋_GBK" w:hAnsi="方正仿宋_GBK" w:eastAsia="方正仿宋_GBK" w:cs="方正仿宋_GBK"/>
          <w:color w:val="000000"/>
          <w:kern w:val="0"/>
          <w:sz w:val="28"/>
          <w:szCs w:val="28"/>
          <w:lang w:bidi="ar"/>
        </w:rPr>
        <w:t xml:space="preserve">2.参评校级二等奖学金要求综合素质测评成绩必须在本班前 20%，且学业平均成绩不低于 85 分，单科成绩不低于 70分，学生操行等级分为优； </w:t>
      </w:r>
    </w:p>
    <w:p w14:paraId="0D3D97C8">
      <w:pPr>
        <w:widowControl/>
        <w:jc w:val="left"/>
        <w:rPr>
          <w:rFonts w:hint="eastAsia" w:ascii="方正仿宋_GBK" w:hAnsi="方正仿宋_GBK" w:eastAsia="方正仿宋_GBK" w:cs="方正仿宋_GBK"/>
          <w:color w:val="000000"/>
          <w:kern w:val="0"/>
          <w:sz w:val="28"/>
          <w:szCs w:val="28"/>
          <w:lang w:bidi="ar"/>
        </w:rPr>
      </w:pPr>
      <w:r>
        <w:rPr>
          <w:rFonts w:hint="eastAsia" w:ascii="方正仿宋_GBK" w:hAnsi="方正仿宋_GBK" w:eastAsia="方正仿宋_GBK" w:cs="方正仿宋_GBK"/>
          <w:color w:val="000000"/>
          <w:kern w:val="0"/>
          <w:sz w:val="28"/>
          <w:szCs w:val="28"/>
          <w:lang w:bidi="ar"/>
        </w:rPr>
        <w:t>3.参评校级三等奖学金要求综合素质测评成绩必须是本班前 30%，且学业平均成绩不低于 80 分，单科成绩不低于70分，学生操行等级分为良及以上。</w:t>
      </w:r>
    </w:p>
    <w:p w14:paraId="418CBFCF">
      <w:pPr>
        <w:widowControl/>
        <w:jc w:val="left"/>
        <w:rPr>
          <w:rFonts w:hint="eastAsia" w:ascii="方正仿宋_GBK" w:hAnsi="方正仿宋_GBK" w:eastAsia="方正仿宋_GBK" w:cs="方正仿宋_GBK"/>
          <w:sz w:val="28"/>
          <w:szCs w:val="28"/>
        </w:rPr>
      </w:pPr>
      <w:r>
        <w:rPr>
          <w:rFonts w:hint="eastAsia" w:ascii="方正仿宋_GBK" w:hAnsi="方正仿宋_GBK" w:eastAsia="方正仿宋_GBK" w:cs="方正仿宋_GBK"/>
          <w:color w:val="000000"/>
          <w:kern w:val="0"/>
          <w:sz w:val="28"/>
          <w:szCs w:val="28"/>
          <w:lang w:bidi="ar"/>
        </w:rPr>
        <w:t xml:space="preserve">学生学业成绩以教务处学习成绩录入系统为准。符合评审条件的学生按照综合测评成绩由高到低依次评定奖学金等次。 </w:t>
      </w:r>
    </w:p>
    <w:p w14:paraId="562ADA9F">
      <w:pPr>
        <w:widowControl/>
        <w:jc w:val="left"/>
        <w:rPr>
          <w:rFonts w:hint="eastAsia" w:ascii="方正仿宋_GBK" w:hAnsi="方正仿宋_GBK" w:eastAsia="方正仿宋_GBK" w:cs="方正仿宋_GBK"/>
          <w:sz w:val="28"/>
          <w:szCs w:val="28"/>
        </w:rPr>
      </w:pPr>
      <w:r>
        <w:rPr>
          <w:rFonts w:hint="eastAsia" w:ascii="方正仿宋_GBK" w:hAnsi="方正仿宋_GBK" w:eastAsia="方正仿宋_GBK" w:cs="方正仿宋_GBK"/>
          <w:color w:val="000000"/>
          <w:kern w:val="0"/>
          <w:sz w:val="28"/>
          <w:szCs w:val="28"/>
          <w:lang w:bidi="ar"/>
        </w:rPr>
        <w:t xml:space="preserve">(四)坚持体育锻炼，身心健康； </w:t>
      </w:r>
    </w:p>
    <w:p w14:paraId="07F89DFA">
      <w:pPr>
        <w:widowControl/>
        <w:jc w:val="left"/>
        <w:rPr>
          <w:rFonts w:hint="eastAsia" w:ascii="方正仿宋_GBK" w:hAnsi="方正仿宋_GBK" w:eastAsia="方正仿宋_GBK" w:cs="方正仿宋_GBK"/>
          <w:sz w:val="28"/>
          <w:szCs w:val="28"/>
        </w:rPr>
      </w:pPr>
      <w:r>
        <w:rPr>
          <w:rFonts w:hint="eastAsia" w:ascii="方正仿宋_GBK" w:hAnsi="方正仿宋_GBK" w:eastAsia="方正仿宋_GBK" w:cs="方正仿宋_GBK"/>
          <w:b/>
          <w:bCs/>
          <w:color w:val="000000"/>
          <w:kern w:val="0"/>
          <w:sz w:val="28"/>
          <w:szCs w:val="28"/>
          <w:lang w:bidi="ar"/>
        </w:rPr>
        <w:t>第六条</w:t>
      </w:r>
      <w:r>
        <w:rPr>
          <w:rFonts w:hint="eastAsia" w:ascii="方正仿宋_GBK" w:hAnsi="方正仿宋_GBK" w:eastAsia="方正仿宋_GBK" w:cs="方正仿宋_GBK"/>
          <w:color w:val="000000"/>
          <w:kern w:val="0"/>
          <w:sz w:val="28"/>
          <w:szCs w:val="28"/>
          <w:lang w:bidi="ar"/>
        </w:rPr>
        <w:t xml:space="preserve"> 校级奖学金等级、奖励标准及评审比例 </w:t>
      </w:r>
    </w:p>
    <w:p w14:paraId="0D107E6F">
      <w:pPr>
        <w:widowControl/>
        <w:jc w:val="left"/>
        <w:rPr>
          <w:rFonts w:hint="eastAsia" w:ascii="方正仿宋_GBK" w:hAnsi="方正仿宋_GBK" w:eastAsia="方正仿宋_GBK" w:cs="方正仿宋_GBK"/>
          <w:sz w:val="28"/>
          <w:szCs w:val="28"/>
        </w:rPr>
      </w:pPr>
      <w:r>
        <w:rPr>
          <w:rFonts w:hint="eastAsia" w:ascii="方正仿宋_GBK" w:hAnsi="方正仿宋_GBK" w:eastAsia="方正仿宋_GBK" w:cs="方正仿宋_GBK"/>
          <w:color w:val="000000"/>
          <w:kern w:val="0"/>
          <w:sz w:val="28"/>
          <w:szCs w:val="28"/>
          <w:lang w:bidi="ar"/>
        </w:rPr>
        <w:t xml:space="preserve">一等奖：1500 元/人/学年，参评人数 3%以内； </w:t>
      </w:r>
    </w:p>
    <w:p w14:paraId="235A422E">
      <w:pPr>
        <w:widowControl/>
        <w:jc w:val="left"/>
        <w:rPr>
          <w:rFonts w:hint="eastAsia" w:ascii="方正仿宋_GBK" w:hAnsi="方正仿宋_GBK" w:eastAsia="方正仿宋_GBK" w:cs="方正仿宋_GBK"/>
          <w:sz w:val="28"/>
          <w:szCs w:val="28"/>
        </w:rPr>
      </w:pPr>
      <w:r>
        <w:rPr>
          <w:rFonts w:hint="eastAsia" w:ascii="方正仿宋_GBK" w:hAnsi="方正仿宋_GBK" w:eastAsia="方正仿宋_GBK" w:cs="方正仿宋_GBK"/>
          <w:color w:val="000000"/>
          <w:kern w:val="0"/>
          <w:sz w:val="28"/>
          <w:szCs w:val="28"/>
          <w:lang w:bidi="ar"/>
        </w:rPr>
        <w:t xml:space="preserve">二等奖：1000 元/人/学年，参评人数 5%以内； </w:t>
      </w:r>
    </w:p>
    <w:p w14:paraId="7FFA4C4F">
      <w:pPr>
        <w:widowControl/>
        <w:jc w:val="left"/>
        <w:rPr>
          <w:rFonts w:hint="eastAsia" w:ascii="方正仿宋_GBK" w:hAnsi="方正仿宋_GBK" w:eastAsia="方正仿宋_GBK" w:cs="方正仿宋_GBK"/>
          <w:sz w:val="28"/>
          <w:szCs w:val="28"/>
        </w:rPr>
      </w:pPr>
      <w:r>
        <w:rPr>
          <w:rFonts w:hint="eastAsia" w:ascii="方正仿宋_GBK" w:hAnsi="方正仿宋_GBK" w:eastAsia="方正仿宋_GBK" w:cs="方正仿宋_GBK"/>
          <w:color w:val="000000"/>
          <w:kern w:val="0"/>
          <w:sz w:val="28"/>
          <w:szCs w:val="28"/>
          <w:lang w:bidi="ar"/>
        </w:rPr>
        <w:t xml:space="preserve">三等奖：500 元/人/学年，参评人数 12%。 </w:t>
      </w:r>
    </w:p>
    <w:p w14:paraId="6A34C408">
      <w:pPr>
        <w:widowControl/>
        <w:jc w:val="left"/>
        <w:rPr>
          <w:rFonts w:hint="eastAsia" w:ascii="方正仿宋_GBK" w:hAnsi="方正仿宋_GBK" w:eastAsia="方正仿宋_GBK" w:cs="方正仿宋_GBK"/>
          <w:sz w:val="28"/>
          <w:szCs w:val="28"/>
        </w:rPr>
      </w:pPr>
      <w:r>
        <w:rPr>
          <w:rFonts w:hint="eastAsia" w:ascii="方正仿宋_GBK" w:hAnsi="方正仿宋_GBK" w:eastAsia="方正仿宋_GBK" w:cs="方正仿宋_GBK"/>
          <w:b/>
          <w:bCs/>
          <w:color w:val="000000"/>
          <w:kern w:val="0"/>
          <w:sz w:val="28"/>
          <w:szCs w:val="28"/>
          <w:lang w:bidi="ar"/>
        </w:rPr>
        <w:t>第七条</w:t>
      </w:r>
      <w:r>
        <w:rPr>
          <w:rFonts w:hint="eastAsia" w:ascii="方正仿宋_GBK" w:hAnsi="方正仿宋_GBK" w:eastAsia="方正仿宋_GBK" w:cs="方正仿宋_GBK"/>
          <w:color w:val="000000"/>
          <w:kern w:val="0"/>
          <w:sz w:val="28"/>
          <w:szCs w:val="28"/>
          <w:lang w:bidi="ar"/>
        </w:rPr>
        <w:t xml:space="preserve"> 奖学金评审时间与程序 </w:t>
      </w:r>
    </w:p>
    <w:p w14:paraId="3596D465">
      <w:pPr>
        <w:widowControl/>
        <w:jc w:val="left"/>
        <w:rPr>
          <w:rFonts w:hint="eastAsia" w:ascii="方正仿宋_GBK" w:hAnsi="方正仿宋_GBK" w:eastAsia="方正仿宋_GBK" w:cs="方正仿宋_GBK"/>
          <w:sz w:val="28"/>
          <w:szCs w:val="28"/>
        </w:rPr>
      </w:pPr>
      <w:r>
        <w:rPr>
          <w:rFonts w:hint="eastAsia" w:ascii="方正仿宋_GBK" w:hAnsi="方正仿宋_GBK" w:eastAsia="方正仿宋_GBK" w:cs="方正仿宋_GBK"/>
          <w:color w:val="000000"/>
          <w:kern w:val="0"/>
          <w:sz w:val="28"/>
          <w:szCs w:val="28"/>
          <w:lang w:bidi="ar"/>
        </w:rPr>
        <w:t xml:space="preserve">(一) 校级奖学金每学年评审一次，于每年秋季学期进行。 </w:t>
      </w:r>
    </w:p>
    <w:p w14:paraId="5805CC58">
      <w:pPr>
        <w:widowControl/>
        <w:jc w:val="left"/>
        <w:rPr>
          <w:rFonts w:hint="eastAsia" w:ascii="方正仿宋_GBK" w:hAnsi="方正仿宋_GBK" w:eastAsia="方正仿宋_GBK" w:cs="方正仿宋_GBK"/>
          <w:sz w:val="28"/>
          <w:szCs w:val="28"/>
        </w:rPr>
      </w:pPr>
      <w:r>
        <w:rPr>
          <w:rFonts w:hint="eastAsia" w:ascii="方正仿宋_GBK" w:hAnsi="方正仿宋_GBK" w:eastAsia="方正仿宋_GBK" w:cs="方正仿宋_GBK"/>
          <w:color w:val="000000"/>
          <w:kern w:val="0"/>
          <w:sz w:val="28"/>
          <w:szCs w:val="28"/>
          <w:lang w:bidi="ar"/>
        </w:rPr>
        <w:t xml:space="preserve">(二) 名额分配：学生资助中心根据各二级学院在校生数按比例将名额分配至各二级学院。各二级学院应在学院资助工作领导小组带领下根据自身办学特点和实际情况制定本院的具体评审细则。 </w:t>
      </w:r>
    </w:p>
    <w:p w14:paraId="6F0C4618">
      <w:pPr>
        <w:widowControl/>
        <w:jc w:val="left"/>
        <w:rPr>
          <w:rFonts w:hint="eastAsia" w:ascii="方正仿宋_GBK" w:hAnsi="方正仿宋_GBK" w:eastAsia="方正仿宋_GBK" w:cs="方正仿宋_GBK"/>
          <w:sz w:val="28"/>
          <w:szCs w:val="28"/>
        </w:rPr>
      </w:pPr>
      <w:r>
        <w:rPr>
          <w:rFonts w:hint="eastAsia" w:ascii="方正仿宋_GBK" w:hAnsi="方正仿宋_GBK" w:eastAsia="方正仿宋_GBK" w:cs="方正仿宋_GBK"/>
          <w:color w:val="000000"/>
          <w:kern w:val="0"/>
          <w:sz w:val="28"/>
          <w:szCs w:val="28"/>
          <w:lang w:bidi="ar"/>
        </w:rPr>
        <w:t xml:space="preserve">(三) 校级奖学金的评审，由学生提出申请，班级民主评议，院系初审，党委学工部学生资助中心复核，学校评审以及公示，公示时间为 5 个工作日，公示无异议后由党委学工部学生资助中心按相关程序报批，由财务审计处直接发放资助金到学生本人银行卡中。 </w:t>
      </w:r>
    </w:p>
    <w:p w14:paraId="097B5B08">
      <w:pPr>
        <w:widowControl/>
        <w:jc w:val="left"/>
        <w:rPr>
          <w:rFonts w:hint="eastAsia" w:ascii="方正仿宋_GBK" w:hAnsi="方正仿宋_GBK" w:eastAsia="方正仿宋_GBK" w:cs="方正仿宋_GBK"/>
          <w:sz w:val="28"/>
          <w:szCs w:val="28"/>
        </w:rPr>
      </w:pPr>
      <w:r>
        <w:rPr>
          <w:rFonts w:hint="eastAsia" w:ascii="方正仿宋_GBK" w:hAnsi="方正仿宋_GBK" w:eastAsia="方正仿宋_GBK" w:cs="方正仿宋_GBK"/>
          <w:b/>
          <w:bCs/>
          <w:color w:val="000000"/>
          <w:kern w:val="0"/>
          <w:sz w:val="28"/>
          <w:szCs w:val="28"/>
          <w:lang w:bidi="ar"/>
        </w:rPr>
        <w:t>第八条</w:t>
      </w:r>
      <w:r>
        <w:rPr>
          <w:rFonts w:hint="eastAsia" w:ascii="方正仿宋_GBK" w:hAnsi="方正仿宋_GBK" w:eastAsia="方正仿宋_GBK" w:cs="方正仿宋_GBK"/>
          <w:color w:val="000000"/>
          <w:kern w:val="0"/>
          <w:sz w:val="28"/>
          <w:szCs w:val="28"/>
          <w:lang w:bidi="ar"/>
        </w:rPr>
        <w:t xml:space="preserve"> 学校对校级奖学金获奖学生进行表彰，并颁发荣誉证书，相关材料载入学生本人档案。 </w:t>
      </w:r>
    </w:p>
    <w:p w14:paraId="2072EAC0">
      <w:pPr>
        <w:widowControl/>
        <w:jc w:val="left"/>
        <w:rPr>
          <w:rFonts w:hint="eastAsia" w:ascii="方正仿宋_GBK" w:hAnsi="方正仿宋_GBK" w:eastAsia="方正仿宋_GBK" w:cs="方正仿宋_GBK"/>
          <w:sz w:val="28"/>
          <w:szCs w:val="28"/>
        </w:rPr>
      </w:pPr>
      <w:r>
        <w:rPr>
          <w:rFonts w:hint="eastAsia" w:ascii="方正仿宋_GBK" w:hAnsi="方正仿宋_GBK" w:eastAsia="方正仿宋_GBK" w:cs="方正仿宋_GBK"/>
          <w:b/>
          <w:bCs/>
          <w:color w:val="000000"/>
          <w:kern w:val="0"/>
          <w:sz w:val="28"/>
          <w:szCs w:val="28"/>
          <w:lang w:bidi="ar"/>
        </w:rPr>
        <w:t>第九条</w:t>
      </w:r>
      <w:r>
        <w:rPr>
          <w:rFonts w:hint="eastAsia" w:ascii="方正仿宋_GBK" w:hAnsi="方正仿宋_GBK" w:eastAsia="方正仿宋_GBK" w:cs="方正仿宋_GBK"/>
          <w:color w:val="000000"/>
          <w:kern w:val="0"/>
          <w:sz w:val="28"/>
          <w:szCs w:val="28"/>
          <w:lang w:bidi="ar"/>
        </w:rPr>
        <w:t xml:space="preserve"> 本办法由党委学生工作部资助中心负责解释。其他未尽事宜依照国家有关政策、学校相关文件执行。 </w:t>
      </w:r>
    </w:p>
    <w:p w14:paraId="7CC1B908">
      <w:pPr>
        <w:widowControl/>
        <w:jc w:val="left"/>
        <w:rPr>
          <w:rFonts w:hint="eastAsia" w:ascii="方正仿宋_GBK" w:hAnsi="方正仿宋_GBK" w:eastAsia="方正仿宋_GBK" w:cs="方正仿宋_GBK"/>
          <w:color w:val="000000"/>
          <w:kern w:val="0"/>
          <w:sz w:val="28"/>
          <w:szCs w:val="28"/>
          <w:lang w:bidi="ar"/>
        </w:rPr>
      </w:pPr>
      <w:r>
        <w:rPr>
          <w:rFonts w:hint="eastAsia" w:ascii="方正仿宋_GBK" w:hAnsi="方正仿宋_GBK" w:eastAsia="方正仿宋_GBK" w:cs="方正仿宋_GBK"/>
          <w:b/>
          <w:bCs/>
          <w:color w:val="000000"/>
          <w:kern w:val="0"/>
          <w:sz w:val="28"/>
          <w:szCs w:val="28"/>
          <w:lang w:bidi="ar"/>
        </w:rPr>
        <w:t>第十条</w:t>
      </w:r>
      <w:r>
        <w:rPr>
          <w:rFonts w:hint="eastAsia" w:ascii="方正仿宋_GBK" w:hAnsi="方正仿宋_GBK" w:eastAsia="方正仿宋_GBK" w:cs="方正仿宋_GBK"/>
          <w:color w:val="000000"/>
          <w:kern w:val="0"/>
          <w:sz w:val="28"/>
          <w:szCs w:val="28"/>
          <w:lang w:bidi="ar"/>
        </w:rPr>
        <w:t xml:space="preserve"> 本办法自公布之日起施行。</w:t>
      </w:r>
    </w:p>
    <w:p w14:paraId="158756E4">
      <w:pPr>
        <w:widowControl/>
        <w:jc w:val="left"/>
        <w:rPr>
          <w:rFonts w:hint="eastAsia" w:ascii="方正仿宋_GBK" w:hAnsi="方正仿宋_GBK" w:eastAsia="方正仿宋_GBK" w:cs="方正仿宋_GBK"/>
          <w:color w:val="000000"/>
          <w:kern w:val="0"/>
          <w:sz w:val="28"/>
          <w:szCs w:val="28"/>
          <w:lang w:bidi="ar"/>
        </w:rPr>
      </w:pPr>
    </w:p>
    <w:p w14:paraId="3E87A0B3">
      <w:pPr>
        <w:spacing w:line="360" w:lineRule="auto"/>
        <w:jc w:val="left"/>
        <w:rPr>
          <w:rFonts w:ascii="方正仿宋_GBK" w:hAnsi="方正仿宋_GBK" w:eastAsia="方正仿宋_GBK" w:cs="方正仿宋_GBK"/>
          <w:kern w:val="0"/>
          <w:sz w:val="28"/>
          <w:szCs w:val="28"/>
          <w:lang w:bidi="ar"/>
        </w:rPr>
      </w:pPr>
    </w:p>
    <w:p w14:paraId="7F015D31">
      <w:pPr>
        <w:spacing w:line="360" w:lineRule="auto"/>
        <w:jc w:val="left"/>
        <w:rPr>
          <w:rFonts w:ascii="方正仿宋_GBK" w:hAnsi="方正仿宋_GBK" w:eastAsia="方正仿宋_GBK" w:cs="方正仿宋_GBK"/>
          <w:kern w:val="0"/>
          <w:sz w:val="28"/>
          <w:szCs w:val="28"/>
          <w:lang w:bidi="ar"/>
        </w:rPr>
      </w:pPr>
    </w:p>
    <w:p w14:paraId="2D605209">
      <w:pPr>
        <w:spacing w:line="360" w:lineRule="auto"/>
        <w:jc w:val="left"/>
        <w:rPr>
          <w:rFonts w:ascii="方正仿宋_GBK" w:hAnsi="方正仿宋_GBK" w:eastAsia="方正仿宋_GBK" w:cs="方正仿宋_GBK"/>
          <w:kern w:val="0"/>
          <w:sz w:val="28"/>
          <w:szCs w:val="28"/>
          <w:lang w:bidi="ar"/>
        </w:rPr>
      </w:pPr>
    </w:p>
    <w:p w14:paraId="1FD3BCAD">
      <w:pPr>
        <w:spacing w:line="360" w:lineRule="auto"/>
        <w:jc w:val="left"/>
        <w:rPr>
          <w:rFonts w:ascii="方正仿宋_GBK" w:hAnsi="方正仿宋_GBK" w:eastAsia="方正仿宋_GBK" w:cs="方正仿宋_GBK"/>
          <w:kern w:val="0"/>
          <w:sz w:val="28"/>
          <w:szCs w:val="28"/>
          <w:lang w:bidi="ar"/>
        </w:rPr>
      </w:pPr>
    </w:p>
    <w:p w14:paraId="12B7C2F8">
      <w:pPr>
        <w:spacing w:line="360" w:lineRule="auto"/>
        <w:jc w:val="left"/>
        <w:rPr>
          <w:rFonts w:ascii="方正仿宋_GBK" w:hAnsi="方正仿宋_GBK" w:eastAsia="方正仿宋_GBK" w:cs="方正仿宋_GBK"/>
          <w:kern w:val="0"/>
          <w:sz w:val="28"/>
          <w:szCs w:val="28"/>
          <w:lang w:bidi="ar"/>
        </w:rPr>
      </w:pPr>
    </w:p>
    <w:p w14:paraId="34660B86">
      <w:pPr>
        <w:spacing w:line="360" w:lineRule="auto"/>
        <w:jc w:val="left"/>
        <w:rPr>
          <w:rFonts w:ascii="方正仿宋_GBK" w:hAnsi="方正仿宋_GBK" w:eastAsia="方正仿宋_GBK" w:cs="方正仿宋_GBK"/>
          <w:kern w:val="0"/>
          <w:sz w:val="28"/>
          <w:szCs w:val="28"/>
          <w:lang w:bidi="ar"/>
        </w:rPr>
      </w:pPr>
    </w:p>
    <w:p w14:paraId="70D6D9AA">
      <w:pPr>
        <w:spacing w:line="360" w:lineRule="auto"/>
        <w:jc w:val="left"/>
        <w:rPr>
          <w:rFonts w:ascii="方正仿宋_GBK" w:hAnsi="方正仿宋_GBK" w:eastAsia="方正仿宋_GBK" w:cs="方正仿宋_GBK"/>
          <w:kern w:val="0"/>
          <w:sz w:val="28"/>
          <w:szCs w:val="28"/>
          <w:lang w:bidi="ar"/>
        </w:rPr>
      </w:pPr>
    </w:p>
    <w:p w14:paraId="173B495B">
      <w:pPr>
        <w:spacing w:line="360" w:lineRule="auto"/>
        <w:jc w:val="left"/>
        <w:rPr>
          <w:rFonts w:ascii="方正仿宋_GBK" w:hAnsi="方正仿宋_GBK" w:eastAsia="方正仿宋_GBK" w:cs="方正仿宋_GBK"/>
          <w:kern w:val="0"/>
          <w:sz w:val="28"/>
          <w:szCs w:val="28"/>
          <w:lang w:bidi="ar"/>
        </w:rPr>
      </w:pPr>
    </w:p>
    <w:p w14:paraId="464BE28A">
      <w:pPr>
        <w:spacing w:line="360" w:lineRule="auto"/>
        <w:jc w:val="left"/>
        <w:rPr>
          <w:rFonts w:ascii="方正仿宋_GBK" w:hAnsi="方正仿宋_GBK" w:eastAsia="方正仿宋_GBK" w:cs="方正仿宋_GBK"/>
          <w:kern w:val="0"/>
          <w:sz w:val="28"/>
          <w:szCs w:val="28"/>
          <w:lang w:bidi="ar"/>
        </w:rPr>
      </w:pPr>
    </w:p>
    <w:p w14:paraId="7FFD0698">
      <w:pPr>
        <w:spacing w:line="360" w:lineRule="auto"/>
        <w:jc w:val="left"/>
        <w:rPr>
          <w:rFonts w:ascii="方正仿宋_GBK" w:hAnsi="方正仿宋_GBK" w:eastAsia="方正仿宋_GBK" w:cs="方正仿宋_GBK"/>
          <w:kern w:val="0"/>
          <w:sz w:val="28"/>
          <w:szCs w:val="28"/>
          <w:lang w:bidi="ar"/>
        </w:rPr>
      </w:pPr>
    </w:p>
    <w:p w14:paraId="21DBCEEC">
      <w:pPr>
        <w:spacing w:line="360" w:lineRule="auto"/>
        <w:jc w:val="left"/>
        <w:rPr>
          <w:rFonts w:ascii="方正仿宋_GBK" w:hAnsi="方正仿宋_GBK" w:eastAsia="方正仿宋_GBK" w:cs="方正仿宋_GBK"/>
          <w:kern w:val="0"/>
          <w:sz w:val="28"/>
          <w:szCs w:val="28"/>
          <w:lang w:bidi="ar"/>
        </w:rPr>
      </w:pPr>
    </w:p>
    <w:p w14:paraId="0C57F2D5">
      <w:pPr>
        <w:spacing w:line="360" w:lineRule="auto"/>
        <w:jc w:val="left"/>
        <w:rPr>
          <w:rFonts w:ascii="方正仿宋_GBK" w:hAnsi="方正仿宋_GBK" w:eastAsia="方正仿宋_GBK" w:cs="方正仿宋_GBK"/>
          <w:kern w:val="0"/>
          <w:sz w:val="28"/>
          <w:szCs w:val="28"/>
          <w:lang w:bidi="ar"/>
        </w:rPr>
      </w:pPr>
    </w:p>
    <w:p w14:paraId="5E652924">
      <w:pPr>
        <w:spacing w:line="360" w:lineRule="auto"/>
        <w:jc w:val="left"/>
        <w:rPr>
          <w:rFonts w:ascii="方正仿宋_GBK" w:hAnsi="方正仿宋_GBK" w:eastAsia="方正仿宋_GBK" w:cs="方正仿宋_GBK"/>
          <w:kern w:val="0"/>
          <w:sz w:val="28"/>
          <w:szCs w:val="28"/>
          <w:lang w:bidi="ar"/>
        </w:rPr>
      </w:pPr>
    </w:p>
    <w:p w14:paraId="2A8A8E24">
      <w:pPr>
        <w:spacing w:line="360" w:lineRule="auto"/>
        <w:jc w:val="left"/>
        <w:rPr>
          <w:rFonts w:ascii="方正仿宋_GBK" w:hAnsi="方正仿宋_GBK" w:eastAsia="方正仿宋_GBK" w:cs="方正仿宋_GBK"/>
          <w:kern w:val="0"/>
          <w:sz w:val="28"/>
          <w:szCs w:val="28"/>
          <w:lang w:bidi="ar"/>
        </w:rPr>
      </w:pPr>
    </w:p>
    <w:p w14:paraId="44894FA0">
      <w:pPr>
        <w:spacing w:line="20" w:lineRule="exact"/>
        <w:jc w:val="left"/>
        <w:rPr>
          <w:rFonts w:hint="eastAsia" w:ascii="方正仿宋_GBK" w:hAnsi="方正仿宋_GBK" w:eastAsia="方正仿宋_GBK" w:cs="方正仿宋_GBK"/>
          <w:kern w:val="0"/>
          <w:sz w:val="28"/>
          <w:szCs w:val="28"/>
          <w:lang w:bidi="ar"/>
        </w:rPr>
      </w:pPr>
    </w:p>
    <w:p w14:paraId="1C53ED8E"/>
    <w:sectPr>
      <w:footerReference r:id="rId3" w:type="default"/>
      <w:pgSz w:w="11906" w:h="16838"/>
      <w:pgMar w:top="1417" w:right="1800" w:bottom="1417"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